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c2def1be65109cce8af6842f44b4f2de19e850"/>
    <w:p>
      <w:pPr>
        <w:pStyle w:val="Heading3"/>
      </w:pPr>
      <w:r>
        <w:t xml:space="preserve">Информация для организаций, которые имеют право на льготы по транспортному или земельному налогу</w:t>
      </w:r>
    </w:p>
    <w:p>
      <w:pPr>
        <w:pStyle w:val="FirstParagraph"/>
      </w:pPr>
      <w:r>
        <w:t xml:space="preserve">01.03.2022</w:t>
      </w:r>
    </w:p>
    <w:p>
      <w:pPr>
        <w:pStyle w:val="BodyText"/>
      </w:pPr>
      <w:r>
        <w:t xml:space="preserve">Организациям, которые имеют право на льготы по транспортному или земельному налогу организаций, необходимо направить в налоговый орган заявление налогоплательщика-организации о предоставлении налоговой льготы по транспортному налогу и (или) земельному налогу (КНД 1150064). Вместе с ним они вправе подать документы, подтверждающие право на данную льготу.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 кодексом Российской Федерации не установлен. Поэтому заявление о представлении налоговой льготы за налоговый период 2021 года организации целесообразно представить в течение I квартала 2022 года.</w:t>
      </w:r>
    </w:p>
    <w:p>
      <w:pPr>
        <w:pStyle w:val="BodyText"/>
      </w:pPr>
      <w:r>
        <w:t xml:space="preserve">Сообщение об исчисленных суммах транспортного и(или) земельного налога (далее – Сообщение) составляется на основе информации, имеющейся у налогового органа, в т.ч.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>
      <w:pPr>
        <w:pStyle w:val="BodyText"/>
      </w:pPr>
      <w:r>
        <w:t xml:space="preserve">По результатам рассмотрения заявления о предоставления налоговый льготы, налоговый орган должен направить уведомление о предоставлении налоговой льготы либо сообщение об отказе от предоставления налоговой льготы.</w:t>
      </w:r>
    </w:p>
    <w:p>
      <w:pPr>
        <w:pStyle w:val="BodyText"/>
      </w:pPr>
      <w: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http://hamovniki.mos.ru/administrative-authority-shall-inform/detail/10652580.html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525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525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2025-06-07T06:38:53Z</dcterms:created>
  <dcterms:modified xsi:type="dcterms:W3CDTF">2025-06-07T06:38:53Z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