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52c9b98bd832bf400eea2c4a9914b51d6f04f51"/>
    <w:p>
      <w:pPr>
        <w:pStyle w:val="Heading3"/>
      </w:pPr>
      <w:r>
        <w:t xml:space="preserve">Предоставление отсрочки (рассрочки) по налогам</w:t>
      </w:r>
    </w:p>
    <w:p>
      <w:pPr>
        <w:pStyle w:val="FirstParagraph"/>
      </w:pPr>
      <w:r>
        <w:t xml:space="preserve">30.03.2022</w:t>
      </w:r>
    </w:p>
    <w:p>
      <w:pPr>
        <w:pStyle w:val="BodyText"/>
      </w:pPr>
      <w:r>
        <w:t xml:space="preserve">Если у налогоплательщика есть обязанность по уплате налогов, сборов, страховых взносов, пеней и штрафов, но он не может уплатить их в установленный срок, тогда он имеет право обратиться в налоговый орган за отсрочкой или рассрочкой по их уплате.</w:t>
      </w:r>
    </w:p>
    <w:p>
      <w:pPr>
        <w:pStyle w:val="BodyText"/>
      </w:pPr>
      <w:r>
        <w:t xml:space="preserve">Отсрочка или рассрочка может быть предоставлена налоговым органом</w:t>
      </w:r>
      <w:r>
        <w:t xml:space="preserve"> </w:t>
      </w:r>
      <w:r>
        <w:rPr>
          <w:bCs/>
          <w:b/>
        </w:rPr>
        <w:t xml:space="preserve">на срок, не превышающий 1 год</w:t>
      </w:r>
      <w:r>
        <w:t xml:space="preserve"> </w:t>
      </w:r>
      <w:r>
        <w:t xml:space="preserve">с момента установленного срока уплаты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Отсрочка или рассрочка</w:t>
      </w:r>
      <w:r>
        <w:t xml:space="preserve"> </w:t>
      </w:r>
      <w:r>
        <w:rPr>
          <w:bCs/>
          <w:b/>
        </w:rPr>
        <w:t xml:space="preserve">на срок до 3-х лет</w:t>
      </w:r>
      <w:r>
        <w:t xml:space="preserve"> </w:t>
      </w:r>
      <w:r>
        <w:t xml:space="preserve">может быть предоставлена только по страховым взносам и федеральным налогам в части, зачисляемой в федеральный бюджет (налог на прибыль организаций, зачисляемый в федеральный бюджет, налог на добавленную стоимость, акцизы, налог на добычу полезных ископаемых, водный налог, сборы за пользование объектами водных биологических ресурсов).</w:t>
      </w:r>
    </w:p>
    <w:p>
      <w:pPr>
        <w:pStyle w:val="BodyText"/>
      </w:pPr>
      <w:r>
        <w:rPr>
          <w:bCs/>
          <w:b/>
        </w:rPr>
        <w:t xml:space="preserve">Для получения отсрочки или рассрочки необходимо иметь соответствующие основания, а также представить необходимые документы и обеспечение (залог, поручительство или банковская гарантия).</w:t>
      </w:r>
    </w:p>
    <w:p>
      <w:pPr>
        <w:pStyle w:val="BodyText"/>
      </w:pPr>
      <w:r>
        <w:t xml:space="preserve">Перечень оснований, при наличии которых может быть предоставлена отсрочка или рассрочка, закреплен пунктом 2</w:t>
      </w:r>
      <w:r>
        <w:t xml:space="preserve"> </w:t>
      </w:r>
      <w:hyperlink r:id="rId20">
        <w:r>
          <w:rPr>
            <w:rStyle w:val="Hyperlink"/>
          </w:rPr>
          <w:t xml:space="preserve">статьи 64 НК РФ</w:t>
        </w:r>
      </w:hyperlink>
      <w:r>
        <w:t xml:space="preserve">.</w:t>
      </w:r>
    </w:p>
    <w:p>
      <w:pPr>
        <w:pStyle w:val="BodyText"/>
      </w:pPr>
      <w:r>
        <w:t xml:space="preserve">Перечень документов, необходимых для рассмотрения вопроса о предоставлении отсрочки или рассрочки, определен пунктом 5</w:t>
      </w:r>
      <w:r>
        <w:t xml:space="preserve"> </w:t>
      </w:r>
      <w:hyperlink r:id="rId20">
        <w:r>
          <w:rPr>
            <w:rStyle w:val="Hyperlink"/>
          </w:rPr>
          <w:t xml:space="preserve">статьи 64 НК РФ</w:t>
        </w:r>
      </w:hyperlink>
      <w:r>
        <w:t xml:space="preserve"> </w:t>
      </w:r>
      <w:r>
        <w:t xml:space="preserve">и Порядком изменения срока уплаты налога, сбора, страховых взносов, а также пени и штрафа налоговыми органами, утвержденным</w:t>
      </w:r>
      <w:r>
        <w:t xml:space="preserve"> </w:t>
      </w:r>
      <w:hyperlink r:id="rId21">
        <w:r>
          <w:rPr>
            <w:rStyle w:val="Hyperlink"/>
          </w:rPr>
          <w:t xml:space="preserve">приказом ФНС России от 16.12.2016 № ММВ-7-8/683@</w:t>
        </w:r>
      </w:hyperlink>
      <w:r>
        <w:t xml:space="preserve">.</w:t>
      </w:r>
    </w:p>
    <w:p>
      <w:pPr>
        <w:pStyle w:val="BodyText"/>
      </w:pPr>
      <w:r>
        <w:t xml:space="preserve">По требованию налогового органа необходимо представить документы об имуществе, которое может быть предметом залога, поручительство либо банковскую гарантию.</w:t>
      </w:r>
    </w:p>
    <w:p>
      <w:pPr>
        <w:pStyle w:val="BodyText"/>
      </w:pPr>
      <w:r>
        <w:t xml:space="preserve">Для рассмотрения вопроса о возможности получения отсрочки или рассрочки необходимо обратиться в</w:t>
      </w:r>
      <w:r>
        <w:t xml:space="preserve"> </w:t>
      </w:r>
      <w:r>
        <w:t xml:space="preserve">Управление ФНС России по субъекту Российской Федерации</w:t>
      </w:r>
      <w:r>
        <w:t xml:space="preserve"> </w:t>
      </w:r>
      <w:r>
        <w:t xml:space="preserve">по месту нахождения (месту жительства) заинтересованного лица либо в</w:t>
      </w:r>
      <w:r>
        <w:t xml:space="preserve"> </w:t>
      </w:r>
      <w:r>
        <w:t xml:space="preserve">Межрегиональную инспекцию ФНС России по крупнейшим налогоплательщикам</w:t>
      </w:r>
      <w:r>
        <w:t xml:space="preserve">.</w:t>
      </w:r>
    </w:p>
    <w:p>
      <w:pPr>
        <w:pStyle w:val="BodyText"/>
      </w:pPr>
      <w:r>
        <w:t xml:space="preserve">Решение о предоставлении (отказе в предоставлении) отсрочки или рассрочки принимается в течение 30 рабочих дней* со дня получения заявления уполномоченным налоговым органом.</w:t>
      </w:r>
    </w:p>
    <w:p>
      <w:pPr>
        <w:pStyle w:val="BodyText"/>
      </w:pPr>
      <w:r>
        <w:t xml:space="preserve">* по страховым взносам за расчетные периоды, истекшие до 01.01.2017, решение принимается в течение 45 рабочих дней.</w:t>
      </w:r>
    </w:p>
    <w:p>
      <w:pPr>
        <w:pStyle w:val="BodyText"/>
      </w:pPr>
      <w:r>
        <w:drawing>
          <wp:inline>
            <wp:extent cx="5334000" cy="737114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7a7/prilozhenie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71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http://hamovniki.mos.ru/administrative-authority-shall-inform/detail/10716563.html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6" Target="http://hamovniki.mos.ru" TargetMode="External" /><Relationship Type="http://schemas.openxmlformats.org/officeDocument/2006/relationships/hyperlink" Id="rId25" Target="http://hamovniki.mos.ru/administrative-authority-shall-inform/detail/10716563.html" TargetMode="External" /><Relationship Type="http://schemas.openxmlformats.org/officeDocument/2006/relationships/hyperlink" Id="rId20" Target="http://nalog.garant.ru/fns/nk/8e5cab37391b571c12c39a49736d35f9/" TargetMode="External" /><Relationship Type="http://schemas.openxmlformats.org/officeDocument/2006/relationships/hyperlink" Id="rId21" Target="https://www.nalog.gov.ru/rn77/about_fts/docs/670850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hamovniki.mos.ru" TargetMode="External" /><Relationship Type="http://schemas.openxmlformats.org/officeDocument/2006/relationships/hyperlink" Id="rId25" Target="http://hamovniki.mos.ru/administrative-authority-shall-inform/detail/10716563.html" TargetMode="External" /><Relationship Type="http://schemas.openxmlformats.org/officeDocument/2006/relationships/hyperlink" Id="rId20" Target="http://nalog.garant.ru/fns/nk/8e5cab37391b571c12c39a49736d35f9/" TargetMode="External" /><Relationship Type="http://schemas.openxmlformats.org/officeDocument/2006/relationships/hyperlink" Id="rId21" Target="https://www.nalog.gov.ru/rn77/about_fts/docs/670850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2025-06-09T04:05:54Z</dcterms:created>
  <dcterms:modified xsi:type="dcterms:W3CDTF">2025-06-09T04:05:54Z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