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1cfda787da892875b3254a1a676f678a467fd7"/>
    <w:p>
      <w:pPr>
        <w:pStyle w:val="Heading3"/>
      </w:pPr>
      <w:r>
        <w:t xml:space="preserve">Что делать, если налоговое уведомление не получено</w:t>
      </w:r>
    </w:p>
    <w:p>
      <w:pPr>
        <w:pStyle w:val="FirstParagraph"/>
      </w:pPr>
      <w:r>
        <w:t xml:space="preserve">14.11.2022</w:t>
      </w:r>
    </w:p>
    <w:p>
      <w:pPr>
        <w:pStyle w:val="BodyText"/>
      </w:pPr>
      <w:r>
        <w:t xml:space="preserve">При этом налоговые уведомления не направляются по почте на бумажном носителе в следующих случаях:</w:t>
      </w:r>
    </w:p>
    <w:p>
      <w:pPr>
        <w:pStyle w:val="BodyText"/>
      </w:pPr>
      <w:r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</w:t>
      </w:r>
    </w:p>
    <w:p>
      <w:pPr>
        <w:pStyle w:val="BodyText"/>
      </w:pPr>
      <w:r>
        <w:t xml:space="preserve">2)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уведомления;</w:t>
      </w:r>
    </w:p>
    <w:p>
      <w:pPr>
        <w:pStyle w:val="BodyText"/>
      </w:pPr>
      <w:r>
        <w:t xml:space="preserve">3) налогоплательщик является пользователем интернет-сервиса ФНС России – личный кабинет налогоплательщика и при этом не направил в налоговый орган уведомление о необходимости получения налоговых документов на бумажном носителе.</w:t>
      </w:r>
    </w:p>
    <w:p>
      <w:pPr>
        <w:pStyle w:val="BodyText"/>
      </w:pPr>
      <w:r>
        <w:t xml:space="preserve">В иных случаях при неполучении до 1 ноября налогового уведомления за период владения налогооблагаемыми недвижимостью или транспортным средством, налогоплательщику целесообразно обратиться в налоговую инспекцию либо направить информацию через «Личный кабинет налогоплательщика» или с использованием интернет-сервиса ФНС России «Обратиться в ФНС России».</w:t>
      </w:r>
    </w:p>
    <w:p>
      <w:pPr>
        <w:pStyle w:val="BodyText"/>
      </w:pPr>
      <w:r>
        <w:t xml:space="preserve">Владельцы недвижимости или транспортных средств,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имущества,</w:t>
      </w:r>
      <w:r>
        <w:t xml:space="preserve"> </w:t>
      </w:r>
      <w:hyperlink r:id="rId20">
        <w:r>
          <w:rPr>
            <w:rStyle w:val="Hyperlink"/>
          </w:rPr>
          <w:t xml:space="preserve">обязаны сообщать о наличии у них данных объектов в любой налоговый орган</w:t>
        </w:r>
      </w:hyperlink>
      <w:r>
        <w:t xml:space="preserve"> </w:t>
      </w:r>
      <w:r>
        <w:t xml:space="preserve">(форма сообщения утверждена приказом ФНС России от 26.11.2014 № ММВ-7-11/598@).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http://hamovniki.mos.ru/administrative-authority-shall-inform/detail/11221522.html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221522.html" TargetMode="External" /><Relationship Type="http://schemas.openxmlformats.org/officeDocument/2006/relationships/hyperlink" Id="rId20" Target="https://www.nalog.ru/rn77/fl/interest/imuch_me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221522.html" TargetMode="External" /><Relationship Type="http://schemas.openxmlformats.org/officeDocument/2006/relationships/hyperlink" Id="rId20" Target="https://www.nalog.ru/rn77/fl/interest/imuch_m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2025-06-06T17:46:35Z</dcterms:created>
  <dcterms:modified xsi:type="dcterms:W3CDTF">2025-06-06T17:46:35Z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