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патентная-система-налогообложения"/>
    <w:p>
      <w:pPr>
        <w:pStyle w:val="Heading3"/>
      </w:pPr>
      <w:r>
        <w:t xml:space="preserve">Патентная система налогообложения</w:t>
      </w:r>
    </w:p>
    <w:p>
      <w:pPr>
        <w:pStyle w:val="FirstParagraph"/>
      </w:pPr>
      <w:r>
        <w:t xml:space="preserve">10.03.2023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b9d/j05n2d30h632hgyyyj59yq4bgispk7s3/Xerox-Scan_08022023141911-_2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87f/fpfbfvr32xc7l4krhkz4crg2djeydg2e/Xerox-Scan_08022023141911-_2_page_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http://hamovniki.mos.ru/administrative-authority-shall-inform/detail/11456966.html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1456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1456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2025-07-01T00:21:36Z</dcterms:created>
  <dcterms:modified xsi:type="dcterms:W3CDTF">2025-07-01T00:21:36Z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