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43bad79455b2dc4d6ed89147097c72e95a593"/>
    <w:p>
      <w:pPr>
        <w:pStyle w:val="Heading3"/>
      </w:pPr>
      <w:r>
        <w:t xml:space="preserve">6 сентября на Лужнецкой набережной состоится праздничный салют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6 сентября 2014 года в 22.30 на Лужнецкой набережной планируется проведение Праздничного фейерверка, приуроченного к проведению празднования Дня города Москвы.</w:t>
      </w:r>
    </w:p>
    <w:p>
      <w:pPr>
        <w:pStyle w:val="BodyText"/>
      </w:pPr>
      <w:r>
        <w:br/>
      </w:r>
      <w:r>
        <w:t xml:space="preserve">Схема площадки высотного фейерверка: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http://hamovniki.mos.ru/administrative-authority-shall-inform/detail/1190971.html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190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1190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2024-08-17T16:24:45Z</dcterms:created>
  <dcterms:modified xsi:type="dcterms:W3CDTF">2024-08-17T16:24:45Z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