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9ec353418f70c88c9b016fb55d20601a1b4feb"/>
    <w:p>
      <w:pPr>
        <w:pStyle w:val="Heading3"/>
      </w:pPr>
      <w:r>
        <w:t xml:space="preserve">По инициативе прокуратуры за нарушение законодательства о противодействии коррупции виновные лица привлечены к административной ответственности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Хамовническая межрайонная прокуратура провела проверку исполнения требований законодательства о противодействии коррупции в коммерческой организации.</w:t>
      </w:r>
      <w:r>
        <w:t xml:space="preserve"> </w:t>
      </w:r>
      <w:r>
        <w:t xml:space="preserve">Установлено, что руководителем компании заключен трудовой договор с сотрудником, ранее замещавшим должность заместителя начальника отдела правовой работы одного из подразделений органа государственного управления Московской области.</w:t>
      </w:r>
      <w:r>
        <w:t xml:space="preserve"> </w:t>
      </w:r>
      <w:r>
        <w:t xml:space="preserve">Вместе с тем, в нарушение требований Федерального закона «О противодействии коррупции» руководство организации уведомление о трудоустройстве бывшего государственного служащего в установленный законом десятидневный срок по прежнему месту работы не направило.</w:t>
      </w:r>
      <w:r>
        <w:t xml:space="preserve"> </w:t>
      </w:r>
      <w:r>
        <w:t xml:space="preserve">В связи с выявленными нарушениями межрайонный прокурор внес в адрес руководителя организации представление и возбудил отношении юридического и должностного лица организации дела об административном правонарушении по ст. 19.29 КоАП РФ (незаконное привлечение к трудовой деятельности бывшего государственного служащего).</w:t>
      </w:r>
      <w:r>
        <w:t xml:space="preserve"> </w:t>
      </w:r>
      <w:r>
        <w:t xml:space="preserve">Постановлениями мирового судьи виновные лица привлечены к административной ответственности в виде штрафов на сумму 120 тыс. рублей.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http://hamovniki.mos.ru/administrative-authority-shall-inform/detail/12725553.html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5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5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2025-08-04T04:44:04Z</dcterms:created>
  <dcterms:modified xsi:type="dcterms:W3CDTF">2025-08-04T04:44:04Z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