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07e53b491ac756b9f66864b15fc5d08f8378e8"/>
    <w:p>
      <w:pPr>
        <w:pStyle w:val="Heading3"/>
      </w:pPr>
      <w:r>
        <w:t xml:space="preserve">Вынесен приговор по уголовному делу о покушении на сбыт наркотических средств в значительном и крупном размерах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На основании доказательств, представленных государственным обвинителем Хамовнической межрайонной прокуратуры, суд вынес приговор по уголовному делу в отношении 51-летнего гражданина США Майкла Тревиса Лика и 24-летней жительницы столицы Вероники Грабанчук.</w:t>
      </w:r>
    </w:p>
    <w:p>
      <w:pPr>
        <w:pStyle w:val="BodyText"/>
      </w:pPr>
      <w:r>
        <w:t xml:space="preserve">В зависимости от роли и степени участия они признаны виновными по ч. 3 ст. 30 п. «а, б» ч .3, п. «г» ч. 4 ст.228.1 УК РФ (покушение на незаконный сбыт наркотических средств, группой лиц по предварительному сговору в значительном и крупном размере), ч. 1 ст. 228 УК РФ (незаконное хранение наркотических средств).</w:t>
      </w:r>
    </w:p>
    <w:p>
      <w:pPr>
        <w:pStyle w:val="BodyText"/>
      </w:pPr>
      <w:r>
        <w:t xml:space="preserve">Установлено, что в период с января по июнь 2023 года Лик приобретал у сообщника, уголовное дело в отношении которого выделено в отдельное производство, наркотические средства, расфасовывал их в удобные для сбыта упаковки, после чего передавал Грабанчук для последующего размещения наркотиков в тайники-закладки. Таким образом, они совершили четыре покушения на сбыт свыше 40 г мефедрона.</w:t>
      </w:r>
    </w:p>
    <w:p>
      <w:pPr>
        <w:pStyle w:val="BodyText"/>
      </w:pPr>
      <w:r>
        <w:t xml:space="preserve">Кроме того, Лик без цели сбыта хранил по месту своего проживания в квартире по ул. Запорожская более 1,6 г мефедрона, а также таблетки массой 0,54 г., содержащее в своем составе наркотическое средство – МДМА. Наркотические средства обнаружены и изъяты в ходе оперативных мероприятий.</w:t>
      </w:r>
    </w:p>
    <w:p>
      <w:pPr>
        <w:pStyle w:val="BodyText"/>
      </w:pPr>
      <w:r>
        <w:t xml:space="preserve">Свою вину в совершении преступлений Грабанчук признала в полном объеме, Лик свою вину не признал.</w:t>
      </w:r>
    </w:p>
    <w:p>
      <w:pPr>
        <w:pStyle w:val="BodyText"/>
      </w:pPr>
      <w:r>
        <w:t xml:space="preserve">С учетом позиции прокурора суд приговорил Грабанчук к 8 годам лишения свободы с отбыванием наказания в колонии общего режима, Лика к 13 годам лишения свободы с отбыванием наказания в колонии строгого режима.</w:t>
      </w:r>
    </w:p>
    <w:p>
      <w:pPr>
        <w:pStyle w:val="BodyText"/>
      </w:pPr>
      <w:r>
        <w:t xml:space="preserve">Приговор в законную силу не вступил.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http://hamovniki.mos.ru/administrative-authority-shall-inform/detail/12725560.html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255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255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2025-03-19T21:15:52Z</dcterms:created>
  <dcterms:modified xsi:type="dcterms:W3CDTF">2025-03-19T21:15:52Z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