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a16f1fdf99e8288b2615a057fada8c616daf8f"/>
    <w:p>
      <w:pPr>
        <w:pStyle w:val="Heading3"/>
      </w:pPr>
      <w:r>
        <w:t xml:space="preserve">В управе района состоялась комиссия по обследованию транспортных средств на территории района</w:t>
      </w:r>
    </w:p>
    <w:p>
      <w:pPr>
        <w:pStyle w:val="FirstParagraph"/>
      </w:pPr>
      <w:r>
        <w:t xml:space="preserve">12.03.2025</w:t>
      </w:r>
    </w:p>
    <w:p>
      <w:pPr>
        <w:pStyle w:val="BodyText"/>
      </w:pPr>
      <w:r>
        <w:t xml:space="preserve">Глава управы Максим Дерюгин провел комиссию по обследованию транспортных средств на территории района Хамовники, где обсудили необходимость усиления мониторинга территории на выявление брошенного транспорта.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http://hamovniki.mos.ru/administrative-authority-shall-inform/detail/12885750.html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8857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8857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2025-07-21T10:30:34Z</dcterms:created>
  <dcterms:modified xsi:type="dcterms:W3CDTF">2025-07-21T10:30:34Z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