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85a03fc7f4090d3f61a93aa6961772ba4dcd76"/>
    <w:p>
      <w:pPr>
        <w:pStyle w:val="Heading3"/>
      </w:pPr>
      <w:r>
        <w:t xml:space="preserve">Торговый сбор 2015 в Москве - О том, кто обязан платить торговый сбор и кто освобождается от его уплаты</w:t>
      </w:r>
    </w:p>
    <w:p>
      <w:pPr>
        <w:pStyle w:val="FirstParagraph"/>
      </w:pPr>
      <w:r>
        <w:t xml:space="preserve">15.09.2015</w:t>
      </w:r>
    </w:p>
    <w:p>
      <w:pPr>
        <w:pStyle w:val="BodyText"/>
      </w:pPr>
      <w:r>
        <w:t xml:space="preserve">С 1 июля 2015 года в Москве вводятся торговые сборы для малого бизнеса. Торговому сбору законодатели отвели новую главу 33 НК РФ — «Торговый сбор».Торговый сбор, по сути, является обязательным платежом, который нужно ежеквартально перечислять за право ведения торговой деятельности на объектах осуществления торговли. Плательщиками торгового сбора, в таком случае, станут занимающиеся торговлей организации и ИП, применяющие общий режим налогообложения или УСН.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О том, кто обязан платить торговый сбор, нужно ли уплачивать торговый сбор интернет-магазинам, облагаются ли торговым сбором оказание бытовых услуг, кто освобождается от его уплаты можно узнать из презентации Департамента экономической политики и развития города Москвы:</w:t>
      </w:r>
    </w:p>
    <w:p>
      <w:pPr>
        <w:pStyle w:val="BodyText"/>
      </w:pPr>
      <w:r>
        <w:br/>
      </w:r>
    </w:p>
    <w:p>
      <w:pPr>
        <w:pStyle w:val="BodyText"/>
      </w:pPr>
      <w:hyperlink r:id="rId20"/>
    </w:p>
    <w:p>
      <w:pPr>
        <w:pStyle w:val="BodyText"/>
      </w:pPr>
      <w:r>
        <w:drawing>
          <wp:inline>
            <wp:extent cx="5334000" cy="758388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hamovniki.mos.ru/www/Foto/torgoviy_sbor-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3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Просмотреть презентацию в формате PDF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 внесении изменений в статью 1 Закона города Москвы от 31 октября 2012 года № 53 «О патентной системе налогообложения»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Статья 1 </w:t>
      </w:r>
    </w:p>
    <w:p>
      <w:pPr>
        <w:pStyle w:val="BodyText"/>
      </w:pPr>
      <w:r>
        <w:rPr>
          <w:iCs/>
          <w:i/>
        </w:rPr>
        <w:t xml:space="preserve">В таблице статьи 1:</w:t>
      </w:r>
    </w:p>
    <w:p>
      <w:pPr>
        <w:pStyle w:val="BodyText"/>
      </w:pPr>
      <w:r>
        <w:rPr>
          <w:iCs/>
          <w:i/>
        </w:rPr>
        <w:t xml:space="preserve">1) пункты 10 и 11 изложить в следующей редакции: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«</w:t>
            </w:r>
          </w:p>
        </w:tc>
        <w:tc>
          <w:tcPr/>
          <w:p>
            <w:pPr>
              <w:jc w:val="left"/>
            </w:pPr>
            <w:r>
              <w:t xml:space="preserve">10.</w:t>
            </w:r>
          </w:p>
        </w:tc>
        <w:tc>
          <w:tcPr/>
          <w:p>
            <w:pPr>
              <w:jc w:val="left"/>
            </w:pPr>
            <w:r>
              <w:t xml:space="preserve">Оказание услуг по перевозке грузов автомобильным транспортном (размер потенциально возможного к получению годового дохода на одно транспортное средство):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1) автомобили грузоподъемностью до 3,5 тонны (включительно);</w:t>
            </w:r>
          </w:p>
        </w:tc>
        <w:tc>
          <w:tcPr/>
          <w:p>
            <w:pPr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2) автомобили грузоподъемностью свыше 3,5 тонны до 5,0 тонн (включительно);</w:t>
            </w:r>
          </w:p>
        </w:tc>
        <w:tc>
          <w:tcPr/>
          <w:p>
            <w:pPr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3) автомобили грузоподъемностью свыше 5,0 тонн до 10,0 тонн (включительно);</w:t>
            </w:r>
          </w:p>
        </w:tc>
        <w:tc>
          <w:tcPr/>
          <w:p>
            <w:pPr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4) автомобили грузоподъемностью свыше 10,0 тонн</w:t>
            </w:r>
          </w:p>
        </w:tc>
        <w:tc>
          <w:tcPr/>
          <w:p>
            <w:pPr>
              <w:jc w:val="left"/>
            </w:pPr>
            <w:r>
              <w:t xml:space="preserve">3000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11.</w:t>
            </w:r>
          </w:p>
        </w:tc>
        <w:tc>
          <w:tcPr/>
          <w:p>
            <w:pPr>
              <w:jc w:val="left"/>
            </w:pPr>
            <w:r>
              <w:t xml:space="preserve">Оказание услуг по перевозке пассажиров автомобильным транспортном (размер потенциально возможного к получению годового дохода на одно транспортное средство):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1) автомобили с количеством посадочных мест до 5 (включительно);</w:t>
            </w:r>
          </w:p>
        </w:tc>
        <w:tc>
          <w:tcPr/>
          <w:p>
            <w:pPr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2) автомобили с количеством посадочных мест от 6 до 8 (включительно);</w:t>
            </w:r>
          </w:p>
        </w:tc>
        <w:tc>
          <w:tcPr/>
          <w:p>
            <w:pPr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3) автомобили с количеством посадочных мест от 9 до 16 (включительно);</w:t>
            </w:r>
          </w:p>
        </w:tc>
        <w:tc>
          <w:tcPr/>
          <w:p>
            <w:pPr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4) автомобили с количеством посадочных мест свыше 16</w:t>
            </w:r>
          </w:p>
        </w:tc>
        <w:tc>
          <w:tcPr/>
          <w:p>
            <w:pPr>
              <w:jc w:val="left"/>
            </w:pPr>
            <w:r>
              <w:t xml:space="preserve">2000</w:t>
            </w:r>
          </w:p>
        </w:tc>
        <w:tc>
          <w:tcPr/>
          <w:p>
            <w:pPr>
              <w:jc w:val="left"/>
            </w:pPr>
            <w:r>
              <w:t xml:space="preserve">»;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 2) пункты 19 и 19.1 изложить в следующей редакции:</w:t>
      </w:r>
      <w:r>
        <w:br/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«</w:t>
            </w:r>
          </w:p>
        </w:tc>
        <w:tc>
          <w:tcPr/>
          <w:p>
            <w:pPr>
              <w:jc w:val="left"/>
            </w:pPr>
            <w:r>
              <w:t xml:space="preserve">19.</w:t>
            </w:r>
          </w:p>
        </w:tc>
        <w:tc>
          <w:tcPr/>
          <w:p>
            <w:pPr>
              <w:jc w:val="left"/>
            </w:pPr>
            <w:r>
              <w:t xml:space="preserve">Сдача в аренду (наем) жилых помещений, дач, земельных участков, принадлежащих индивидуальному предпринимателю на праве собственности (размер потенциально возможного к получению годового дохода на один обособленный объект):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1) до 50 кв. метров (включительно), расположенных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750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б)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350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в)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2) свыше 50 кв. метров до 100 кв. метров (включительно), расположенных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б)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в)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3) свыше 100 кв. метров до 200 кв. метров (включительно), расположенных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2250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б)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1050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в)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1500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4) свыше 200 кв. метров до 300 кв. метров (включительно), расположенных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4500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б)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2100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в)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3000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5) свыше 300 кв. метров до 600 кв. метров (включительно), расположенных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7500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б)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3500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в)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5000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6) свыше 600 кв. метров, расположенных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10000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б)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7000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в)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10000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19.1.</w:t>
            </w:r>
          </w:p>
        </w:tc>
        <w:tc>
          <w:tcPr/>
          <w:p>
            <w:pPr>
              <w:jc w:val="left"/>
            </w:pPr>
            <w:r>
              <w:t xml:space="preserve">Сдача в аренду (наем) нежилых помещений, принадлежащих индивидуальному предпринимателю на праве собственности (размер потенциально возможного к получению годового дохода на один обособленный объект):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1) до 100 кв. метров (включительно);</w:t>
            </w:r>
          </w:p>
        </w:tc>
        <w:tc>
          <w:tcPr/>
          <w:p>
            <w:pPr>
              <w:jc w:val="left"/>
            </w:pPr>
            <w:r>
              <w:t xml:space="preserve">1000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2) свыше 100 кв. метров до 300 кв. метров (включительно);</w:t>
            </w:r>
          </w:p>
        </w:tc>
        <w:tc>
          <w:tcPr/>
          <w:p>
            <w:pPr>
              <w:jc w:val="left"/>
            </w:pPr>
            <w:r>
              <w:t xml:space="preserve">3000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3) свыше 300 кв. метров до 600 кв. метров (включительно);</w:t>
            </w:r>
          </w:p>
        </w:tc>
        <w:tc>
          <w:tcPr/>
          <w:p>
            <w:pPr>
              <w:jc w:val="left"/>
            </w:pPr>
            <w:r>
              <w:t xml:space="preserve">5000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4) свыше 600 кв. метров</w:t>
            </w:r>
          </w:p>
        </w:tc>
        <w:tc>
          <w:tcPr/>
          <w:p>
            <w:pPr>
              <w:jc w:val="left"/>
            </w:pPr>
            <w:r>
              <w:t xml:space="preserve">10000</w:t>
            </w:r>
          </w:p>
        </w:tc>
        <w:tc>
          <w:tcPr/>
          <w:p>
            <w:pPr>
              <w:jc w:val="left"/>
            </w:pPr>
            <w:r>
              <w:t xml:space="preserve">»;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3) пункты 62 и 63 изложить в следующей редакции: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«</w:t>
            </w:r>
          </w:p>
        </w:tc>
        <w:tc>
          <w:tcPr/>
          <w:p>
            <w:pPr>
              <w:jc w:val="left"/>
            </w:pPr>
            <w:r>
              <w:t xml:space="preserve">62.</w:t>
            </w:r>
          </w:p>
        </w:tc>
        <w:tc>
          <w:tcPr/>
          <w:p>
            <w:pPr>
              <w:jc w:val="left"/>
            </w:pPr>
            <w:r>
              <w:t xml:space="preserve">Розничная торговля, осуществляемая через объекты стационарной торговой сети с площадью торгового зала не более 50 кв. метров по каждому объекту организации торговли (размер потенциально возможного к получению годового дохода на один обособленный объект торговли), расположенные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4000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1400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3)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2000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63.</w:t>
            </w:r>
          </w:p>
        </w:tc>
        <w:tc>
          <w:tcPr/>
          <w:p>
            <w:pPr>
              <w:jc w:val="left"/>
            </w:pPr>
            <w: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за исключением развозной и разносной розничной торговли (размер потенциально возможного к получению годового дохода на один обособленный объект торговли), расположенные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5400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1890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3)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2700</w:t>
            </w:r>
          </w:p>
        </w:tc>
        <w:tc>
          <w:tcPr/>
          <w:p>
            <w:pPr>
              <w:jc w:val="left"/>
            </w:pPr>
            <w:r>
              <w:t xml:space="preserve">»;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4) дополнить пунктом 63.1 следующего содержания: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«</w:t>
            </w:r>
          </w:p>
        </w:tc>
        <w:tc>
          <w:tcPr/>
          <w:p>
            <w:pPr>
              <w:jc w:val="left"/>
            </w:pPr>
            <w:r>
              <w:t xml:space="preserve">63.1.</w:t>
            </w:r>
          </w:p>
        </w:tc>
        <w:tc>
          <w:tcPr/>
          <w:p>
            <w:pPr>
              <w:jc w:val="left"/>
            </w:pPr>
            <w:r>
              <w:t xml:space="preserve">Развозная и разносная розничная торговля (размер потенциально возможного к получению годового дохода на один обособленный объект торговли)</w:t>
            </w:r>
          </w:p>
        </w:tc>
        <w:tc>
          <w:tcPr/>
          <w:p>
            <w:pPr>
              <w:jc w:val="left"/>
            </w:pPr>
            <w:r>
              <w:t xml:space="preserve">2700</w:t>
            </w:r>
          </w:p>
        </w:tc>
        <w:tc>
          <w:tcPr/>
          <w:p>
            <w:pPr>
              <w:jc w:val="left"/>
            </w:pPr>
            <w:r>
              <w:t xml:space="preserve">»;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5) пункт 64 изложить в следующей редакции: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t xml:space="preserve">«</w:t>
            </w:r>
          </w:p>
        </w:tc>
        <w:tc>
          <w:tcPr/>
          <w:p>
            <w:pPr>
              <w:jc w:val="left"/>
            </w:pPr>
            <w:r>
              <w:t xml:space="preserve">64.</w:t>
            </w:r>
          </w:p>
        </w:tc>
        <w:tc>
          <w:tcPr/>
          <w:p>
            <w:pPr>
              <w:jc w:val="left"/>
            </w:pPr>
            <w:r>
              <w:t xml:space="preserve">Услуги общественного питания, оказываемые через объекты организации общественного питания с площадью зала обслуживания посетителей не более 50 кв. метров по каждому объекту организации общественного питания (размер потенциально возможного к получению годового дохода на один обособленный объект общественного питания), расположенные в: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1) районах, входящих в Центральный административный округ города Москвы;</w:t>
            </w:r>
          </w:p>
        </w:tc>
        <w:tc>
          <w:tcPr/>
          <w:p>
            <w:pPr>
              <w:jc w:val="left"/>
            </w:pPr>
            <w:r>
              <w:t xml:space="preserve">6000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2) районах и поселениях, входящих в Зеленоградский, Троицкий и Новомосковский административные округа города Москвы, а также в районах Молжаниновский Северного административного округа города Москвы, Северный Северо-Восточного административного округа города Москвы, Восточный, Новокосино и Косино-Ухтомский Восточного административного округа города Москвы, Некрасовка Юго-Восточного административного округа города Москвы, Северное Бутово и Южное Бутово Юго-Западного административного округа города Москвы, Солнцево, Ново-Переделкино и Внуково Западного административного округа города Москвы, Митино и Куркино Северо-Западного административного округа города Москвы;</w:t>
            </w:r>
          </w:p>
        </w:tc>
        <w:tc>
          <w:tcPr/>
          <w:p>
            <w:pPr>
              <w:jc w:val="left"/>
            </w:pPr>
            <w:r>
              <w:t xml:space="preserve">2100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3) районах, входящих в Северный (за исключением района Молжаниновский), Северо-Восточный (за исключением района Северный), Восточный (за исключением районов Восточный, Новокосино и Косино-Ухтомский), Юго-Восточный (за исключением района Некрасовка), Южный, Юго-Западный (за исключением районов Северное Бутово и Южное Бутово), Западный (за исключением районов Солнцево, Ново-Переделкино и Внуково), Северо-Западный (за исключением районов Митино и Куркино) административные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3000</w:t>
            </w:r>
          </w:p>
        </w:tc>
        <w:tc>
          <w:tcPr/>
          <w:p>
            <w:pPr>
              <w:jc w:val="left"/>
            </w:pPr>
            <w:r>
              <w:t xml:space="preserve">».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Статья 2</w:t>
      </w:r>
      <w:r>
        <w:br/>
      </w:r>
      <w:r>
        <w:rPr>
          <w:bCs/>
          <w:b/>
        </w:rPr>
        <w:t xml:space="preserve">Настоящий Закон вступает в силу с 1 января 2015 года, но не ранее чем по истечении одного месяца со дня его официального опубликования.</w:t>
      </w:r>
      <w:r>
        <w:br/>
      </w:r>
      <w:r>
        <w:br/>
      </w:r>
      <w:r>
        <w:rPr>
          <w:iCs/>
          <w:i/>
        </w:rPr>
        <w:t xml:space="preserve">Мэр Москвы</w:t>
      </w:r>
      <w:r>
        <w:br/>
      </w:r>
      <w:r>
        <w:rPr>
          <w:iCs/>
          <w:i/>
        </w:rPr>
        <w:t xml:space="preserve">С.С.Собянин</w:t>
      </w:r>
      <w:r>
        <w:br/>
      </w:r>
      <w:r>
        <w:br/>
      </w:r>
      <w:r>
        <w:rPr>
          <w:iCs/>
          <w:i/>
        </w:rPr>
        <w:t xml:space="preserve">Москва, Московская городская Дума</w:t>
      </w:r>
      <w:r>
        <w:br/>
      </w:r>
      <w:r>
        <w:rPr>
          <w:iCs/>
          <w:i/>
        </w:rPr>
        <w:t xml:space="preserve">19 ноября 2014 года</w:t>
      </w:r>
      <w:r>
        <w:br/>
      </w:r>
      <w:r>
        <w:rPr>
          <w:iCs/>
          <w:i/>
        </w:rPr>
        <w:t xml:space="preserve">№52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http://hamovniki.mos.ru/administrative-authority-shall-inform/detail/2155481.html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0" Target="/pdf/torgoviy_sbor.pdf" TargetMode="External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administrative-authority-shall-inform/detail/21554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pdf/torgoviy_sbor.pdf" TargetMode="External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administrative-authority-shall-inform/detail/21554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2025-06-11T11:55:34Z</dcterms:created>
  <dcterms:modified xsi:type="dcterms:W3CDTF">2025-06-11T11:55:34Z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