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a01aec626aca6dbe6e8cfd1093d89509f9a97f"/>
    <w:p>
      <w:pPr>
        <w:pStyle w:val="Heading3"/>
      </w:pPr>
      <w:r>
        <w:t xml:space="preserve">18 ноября состоялась встреча главы управы района Хамовники с населением</w:t>
      </w:r>
    </w:p>
    <w:p>
      <w:pPr>
        <w:pStyle w:val="FirstParagraph"/>
      </w:pPr>
      <w:r>
        <w:t xml:space="preserve">19.11.2015</w:t>
      </w:r>
    </w:p>
    <w:p>
      <w:pPr>
        <w:pStyle w:val="BodyText"/>
      </w:pPr>
      <w:r>
        <w:t xml:space="preserve">18 ноября прошла встреча главы управы Хамовники с населением района. Мероприятие было посвящено теме работы районной Комиссии по делам несовершеннолетних. </w:t>
      </w:r>
      <w:r>
        <w:br/>
      </w:r>
      <w:r>
        <w:t xml:space="preserve">Предлагаем ознакомиться с видеозаписью встречи: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http://hamovniki.mos.ru/administrative-authority-shall-inform/detail/2313092.html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23130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23130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2025-06-24T03:23:19Z</dcterms:created>
  <dcterms:modified xsi:type="dcterms:W3CDTF">2025-06-24T03:23:19Z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