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a7c23758f50bbc7a53b66513974adcdc17d017"/>
    <w:p>
      <w:pPr>
        <w:pStyle w:val="Heading3"/>
      </w:pPr>
      <w:r>
        <w:t xml:space="preserve">31 января в музее Рериха состоится благотворительный концерт "Сказки для детей изрядного возраста"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drawing>
          <wp:inline>
            <wp:extent cx="5334000" cy="7423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koncert_rerih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3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009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koncert_rerih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http://hamovniki.mos.ru/administrative-authority-shall-inform/detail/2435573.html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hamovniki.mos.ru" TargetMode="External" /><Relationship Type="http://schemas.openxmlformats.org/officeDocument/2006/relationships/hyperlink" Id="rId26" Target="http://hamovniki.mos.ru/administrative-authority-shall-inform/detail/2435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hamovniki.mos.ru" TargetMode="External" /><Relationship Type="http://schemas.openxmlformats.org/officeDocument/2006/relationships/hyperlink" Id="rId26" Target="http://hamovniki.mos.ru/administrative-authority-shall-inform/detail/2435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2024-01-06T22:57:04Z</dcterms:created>
  <dcterms:modified xsi:type="dcterms:W3CDTF">2024-01-06T22:57:04Z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