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b0f7f35f5c6442829f222cc7d27a0c28df77b5"/>
    <w:p>
      <w:pPr>
        <w:pStyle w:val="Heading3"/>
      </w:pPr>
      <w:r>
        <w:t xml:space="preserve">Ограничение и перекрытие движения в связи с проведением Третьего Всеармейского фестиваля-конкурса "Армия России - 2016" на Фрунзенской набережной</w:t>
      </w:r>
    </w:p>
    <w:p>
      <w:pPr>
        <w:pStyle w:val="FirstParagraph"/>
      </w:pPr>
      <w:r>
        <w:t xml:space="preserve">08.09.2016</w:t>
      </w:r>
    </w:p>
    <w:p>
      <w:pPr>
        <w:pStyle w:val="BodyText"/>
      </w:pPr>
      <w:r>
        <w:drawing>
          <wp:inline>
            <wp:extent cx="5257800" cy="97536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78f/armia-rossii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http://hamovniki.mos.ru/administrative-authority-shall-inform/detail/3702275.html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administrative-authority-shall-inform/detail/37022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administrative-authority-shall-inform/detail/37022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2025-06-29T02:18:23Z</dcterms:created>
  <dcterms:modified xsi:type="dcterms:W3CDTF">2025-06-29T02:18:23Z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