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9c1b7b250de7abfd9cf4afb779645fd9bf4b41e"/>
    <w:p>
      <w:pPr>
        <w:pStyle w:val="Heading3"/>
      </w:pPr>
      <w:r>
        <w:t xml:space="preserve">Изменены маршруты общественного транспорта в ЦАО</w:t>
      </w:r>
    </w:p>
    <w:p>
      <w:pPr>
        <w:pStyle w:val="FirstParagraph"/>
      </w:pPr>
      <w:r>
        <w:t xml:space="preserve">13.12.2016</w:t>
      </w:r>
    </w:p>
    <w:p>
      <w:pPr>
        <w:pStyle w:val="BodyText"/>
      </w:pPr>
      <w:r>
        <w:drawing>
          <wp:inline>
            <wp:extent cx="5334000" cy="737114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e28/tsao_a4_page_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71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37114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cc7/tsao_a4_page_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71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http://hamovniki.mos.ru/administrative-authority-shall-inform/detail/4425753.html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administrative-authority-shall-inform/detail/44257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administrative-authority-shall-inform/detail/44257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2025-06-29T15:17:21Z</dcterms:created>
  <dcterms:modified xsi:type="dcterms:W3CDTF">2025-06-29T15:17:21Z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