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e622e0562830d425d1d037ba17a56775bc1f6"/>
    <w:p>
      <w:pPr>
        <w:pStyle w:val="Heading3"/>
      </w:pPr>
      <w:r>
        <w:t xml:space="preserve">Акция «Библионочь» пройдет в Доме Алексея Лосева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d18/a3_biblionoch_afisha-temnyy-fon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http://hamovniki.mos.ru/administrative-authority-shall-inform/detail/7279153.html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7279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administrative-authority-shall-inform/detail/7279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2025-06-11T14:32:08Z</dcterms:created>
  <dcterms:modified xsi:type="dcterms:W3CDTF">2025-06-11T14:32:08Z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