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июня-состоится-вахта-памяти"/>
    <w:p>
      <w:pPr>
        <w:pStyle w:val="Heading3"/>
      </w:pPr>
      <w:r>
        <w:t xml:space="preserve">22 июня состоится "Вахта памяти"</w:t>
      </w:r>
    </w:p>
    <w:p>
      <w:pPr>
        <w:pStyle w:val="FirstParagraph"/>
      </w:pPr>
      <w:r>
        <w:t xml:space="preserve">21.06.2018</w:t>
      </w:r>
    </w:p>
    <w:p>
      <w:pPr>
        <w:pStyle w:val="BodyText"/>
      </w:pPr>
      <w:r>
        <w:drawing>
          <wp:inline>
            <wp:extent cx="5057775" cy="71342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775/b1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7134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http://hamovniki.mos.ru/administrative-authority-shall-inform/detail/7404989.html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7404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7404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2025-07-21T06:57:17Z</dcterms:created>
  <dcterms:modified xsi:type="dcterms:W3CDTF">2025-07-21T06:57:17Z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