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2149a5cfd8386facb1ef8532931a29d832b3b6"/>
    <w:p>
      <w:pPr>
        <w:pStyle w:val="Heading3"/>
      </w:pPr>
      <w:r>
        <w:t xml:space="preserve">Уведомление о возникновении личной заинтересованности, которая приводит или может привести к конфликту интересов государственного гражданского служащего управы района Хамовники города Москвы.</w:t>
      </w:r>
    </w:p>
    <w:p>
      <w:pPr>
        <w:pStyle w:val="FirstParagraph"/>
      </w:pPr>
      <w:r>
        <w:t xml:space="preserve">14.05.2014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http://hamovniki.mos.ru/anti-corruption/forms-of-documents-related-to-anti-corruption-for-filling/detail/1037899.html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forms-of-documents-related-to-anti-corruption-for-filling/detail/10378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forms-of-documents-related-to-anti-corruption-for-filling/detail/10378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2025-06-29T10:45:18Z</dcterms:created>
  <dcterms:modified xsi:type="dcterms:W3CDTF">2025-06-29T10:45:18Z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