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ec8295d0289e80673fbd9ff086aee4e6be0732"/>
    <w:p>
      <w:pPr>
        <w:pStyle w:val="Heading3"/>
      </w:pPr>
      <w:r>
        <w:t xml:space="preserve">Методические реекомендации по проведению оценки коррупционных рисков, возникающих при реализации функций</w:t>
      </w:r>
    </w:p>
    <w:p>
      <w:pPr>
        <w:pStyle w:val="FirstParagraph"/>
      </w:pPr>
      <w:r>
        <w:t xml:space="preserve">16.06.2020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http://hamovniki.mos.ru/anti-corruption/methodical-materials/detail/8969023.html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89690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89690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2025-07-26T22:37:35Z</dcterms:created>
  <dcterms:modified xsi:type="dcterms:W3CDTF">2025-07-26T22:37:35Z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