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d80784c682948cae9a7b7012a950865fa6aff1"/>
    <w:p>
      <w:pPr>
        <w:pStyle w:val="Heading3"/>
      </w:pPr>
      <w:r>
        <w:t xml:space="preserve">Приказ префектуры о внесении изменений в План противодействия коррупции</w:t>
      </w:r>
    </w:p>
    <w:p>
      <w:pPr>
        <w:pStyle w:val="FirstParagraph"/>
      </w:pPr>
      <w:r>
        <w:t xml:space="preserve">18.06.2019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http://hamovniki.mos.ru/anti-corruption/plans-papers-reports-reviews-static-information-on-combating-corruption/detail/8159953.html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plans-papers-reports-reviews-static-information-on-combating-corruption/detail/81599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plans-papers-reports-reviews-static-information-on-combating-corruption/detail/81599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2025-06-05T05:18:42Z</dcterms:created>
  <dcterms:modified xsi:type="dcterms:W3CDTF">2025-06-05T05:18:42Z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