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a91f10cabed3d9cad17d8a119fa795eff46b87"/>
    <w:p>
      <w:pPr>
        <w:pStyle w:val="Heading3"/>
      </w:pPr>
      <w:r>
        <w:t xml:space="preserve">Приказ №232 от 29.11.2019 «О Комиссии управы района Хамовники города Москвы по соблюдению требований к служебному поведению государственных гражданских служащих и урегулированию конфликта интересов»</w:t>
      </w:r>
    </w:p>
    <w:p>
      <w:pPr>
        <w:pStyle w:val="FirstParagraph"/>
      </w:pPr>
      <w:r>
        <w:t xml:space="preserve">24.04.2020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http://hamovniki.mos.ru/anti-corruption/the-commission-for-observance-of-requirements-for-the-official-behaviour-of-state-civil-employees-of/detail/8859701.html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nti-corruption/the-commission-for-observance-of-requirements-for-the-official-behaviour-of-state-civil-employees-of/detail/885970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nti-corruption/the-commission-for-observance-of-requirements-for-the-official-behaviour-of-state-civil-employees-of/detail/885970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2025-05-15T02:32:01Z</dcterms:created>
  <dcterms:modified xsi:type="dcterms:W3CDTF">2025-05-15T02:32:01Z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