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вила-аккредитации-транспорта"/>
    <w:p>
      <w:pPr>
        <w:pStyle w:val="Heading3"/>
      </w:pPr>
      <w:r>
        <w:t xml:space="preserve">Правила аккредитации транспорта</w:t>
      </w:r>
    </w:p>
    <w:p>
      <w:pPr>
        <w:pStyle w:val="FirstParagraph"/>
      </w:pPr>
      <w:r>
        <w:t xml:space="preserve">11.10.2017</w:t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d69/pravila-akkreditatsii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027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fa8/pravila-akkreditatsii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24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d0b/pravila-akkreditatsii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http://hamovniki.mos.ru/news-on-the-main/detail/6911472.html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hamovniki.mos.ru" TargetMode="External" /><Relationship Type="http://schemas.openxmlformats.org/officeDocument/2006/relationships/hyperlink" Id="rId29" Target="http://hamovniki.mos.ru/news-on-the-main/detail/6911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hamovniki.mos.ru" TargetMode="External" /><Relationship Type="http://schemas.openxmlformats.org/officeDocument/2006/relationships/hyperlink" Id="rId29" Target="http://hamovniki.mos.ru/news-on-the-main/detail/6911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2025-08-04T11:50:41Z</dcterms:created>
  <dcterms:modified xsi:type="dcterms:W3CDTF">2025-08-04T11:50:41Z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