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9f75fc80c03ac42eab527b2acb5f32f45a092b8"/>
    <w:p>
      <w:pPr>
        <w:pStyle w:val="Heading3"/>
      </w:pPr>
      <w:r>
        <w:t xml:space="preserve">Государственный музей А.С. Пушкина открывает Год Литературы в России</w:t>
      </w:r>
    </w:p>
    <w:p>
      <w:pPr>
        <w:pStyle w:val="FirstParagraph"/>
      </w:pPr>
      <w:r>
        <w:t xml:space="preserve">03.02.2015</w:t>
      </w:r>
    </w:p>
    <w:p>
      <w:pPr>
        <w:pStyle w:val="BodyText"/>
      </w:pPr>
      <w:r>
        <w:rPr>
          <w:iCs/>
          <w:i/>
        </w:rPr>
        <w:t xml:space="preserve">Год Литературы в России одним из первых открывает Государственный музей А.С. Пушкина в Москве.</w:t>
      </w:r>
      <w:r>
        <w:t xml:space="preserve"> </w:t>
      </w:r>
      <w:r>
        <w:rPr>
          <w:iCs/>
          <w:i/>
        </w:rPr>
        <w:t xml:space="preserve">6 февраля на Пречистенке состоится презентация программы основных мероприятий пушкинских музеев на Год Литературы и открытие сразу двух выставочных проектов, посвященных поэтам и писателям Золотого века русской литературы. На открытии выступят Е.А. Богатырев, директор Государственного музея А.С. Пушкина (Москва) и С.М. Некрасов, директор Всероссийского музея А.С. Пушкина (С-Петерубрг).</w:t>
      </w:r>
    </w:p>
    <w:p>
      <w:pPr>
        <w:pStyle w:val="BodyText"/>
      </w:pPr>
      <w:r>
        <w:t xml:space="preserve">Государственный музей А.С. Пушкина</w:t>
      </w:r>
    </w:p>
    <w:p>
      <w:pPr>
        <w:pStyle w:val="BodyText"/>
      </w:pPr>
      <w:r>
        <w:rPr>
          <w:iCs/>
          <w:i/>
        </w:rPr>
        <w:t xml:space="preserve">ул. Пречистенка, 12/2 (ст.м.«Кропоткинская»)</w:t>
      </w:r>
    </w:p>
    <w:p>
      <w:pPr>
        <w:pStyle w:val="BodyText"/>
      </w:pPr>
      <w:r>
        <w:rPr>
          <w:iCs/>
          <w:i/>
        </w:rPr>
        <w:t xml:space="preserve">Открытие – 6 февраля, в 16.00</w:t>
      </w:r>
    </w:p>
    <w:p>
      <w:pPr>
        <w:pStyle w:val="BodyText"/>
      </w:pPr>
      <w:r>
        <w:rPr>
          <w:bCs/>
          <w:b/>
        </w:rPr>
        <w:t xml:space="preserve">Выставка «Певцы красноречивы, прозаики шутливы…». Портреты русских писателей и поэтов из собрания санкт-петербургского и московского музеев А.С. Пушкина</w:t>
      </w:r>
    </w:p>
    <w:p>
      <w:pPr>
        <w:pStyle w:val="BodyText"/>
      </w:pPr>
      <w:r>
        <w:t xml:space="preserve">Объединенный выставочный проект Всероссийского и Государственного музеев А.С. Пушкина представляет иллюстрированный рассказ об интереснейшем времени в истории отечественной литературы – расцветом ее «золотого века», которое было отмечено явлением в России целой плеяды блестящих мастеров слова, самой яркой звездой которой, безусловно, был Александр Сергеевич Пушкин. Именно его, величайшего из русских поэтов, считают основателем того литературного языка, которым писали потом Лермонтов, Гоголь, Тургенев, Лесков, Толстой, Чехов и другие поэты и писатели, составившие цвет и славу не только великой русской, но и мировой литературы. Для них, продолжателей художественных и гуманистических традиций, заложенных Пушкиным, он всегда оставался своего рода «точкой отсчета», некоим мерилом литературного дара и творческой ответственности.</w:t>
      </w:r>
    </w:p>
    <w:p>
      <w:pPr>
        <w:pStyle w:val="BodyText"/>
      </w:pPr>
      <w:r>
        <w:t xml:space="preserve">Литературные процессы, проходившие в России в эпоху жизни Пушкина, стали центральной темой выставки. Мощное начало золотого века русской литературы представлено на выставке более полусотней имен, в числе которых – Державин, Новиков, Языков, Жуковский, Батюшков, Давыдов, Рылеев, Грибоедов, Крылов, Карамзин, Чаадаев, Дельвиг, Вяземский, Боратынский, Бестужев-Марлинский, Одоевский, Гоголь…</w:t>
      </w:r>
    </w:p>
    <w:p>
      <w:pPr>
        <w:pStyle w:val="BodyText"/>
      </w:pPr>
      <w:r>
        <w:t xml:space="preserve">Можно сказать, что выставка представляет этот период золотого века через призму взаимоотношений А.С. Пушкина и его современников-литераторов. Со всеми из них, так или иначе, Пушкин был связан, всех читал и обо всех имел мнение. Кого-то хвалил, кого-то критиковал и направлял. Со многими поэт был близок, дружен и мог делиться сокровенным, кого-то считал учителями, с некоторыми сотрудничал, иных поддерживал и продвигал…</w:t>
      </w:r>
    </w:p>
    <w:p>
      <w:pPr>
        <w:pStyle w:val="BodyText"/>
      </w:pPr>
      <w:r>
        <w:t xml:space="preserve">Многие современники А.С. Пушкина внесли неоценимый вклад в развитие русской литературы и хорошо известны ныне. Но есть и такие, кому довелось сохранить литературную популярность до наших дней. Одно из достоинств этой выставки – то, что она вспоминает и о тех талантливых литераторах пушкинской эпохи, которые оказались незаслуженно забытыми читателями XIX века.</w:t>
      </w:r>
    </w:p>
    <w:p>
      <w:pPr>
        <w:pStyle w:val="BodyText"/>
      </w:pPr>
      <w:r>
        <w:t xml:space="preserve">В основе выставки – бесценные материалы из собраний двух крупнейших пушкинских музеев России. В экспозиция представлена широкая портретная галерея, личные вещи, прижизненные издания, рукописи и личные письма.</w:t>
      </w:r>
    </w:p>
    <w:p>
      <w:pPr>
        <w:pStyle w:val="BodyText"/>
      </w:pPr>
      <w:r>
        <w:br/>
      </w:r>
    </w:p>
    <w:p>
      <w:pPr>
        <w:pStyle w:val="BodyText"/>
      </w:pPr>
      <w:r>
        <w:rPr>
          <w:bCs/>
          <w:b/>
        </w:rPr>
        <w:t xml:space="preserve">Выставка «Дороги Александра Грибоедова: от Москвы до Тегерана»</w:t>
      </w:r>
    </w:p>
    <w:p>
      <w:pPr>
        <w:pStyle w:val="BodyText"/>
      </w:pPr>
      <w:r>
        <w:rPr>
          <w:bCs/>
          <w:b/>
        </w:rPr>
        <w:t xml:space="preserve">К 220-летию со дня рожденияА.С. Грибоедова, автора комедии «Горе от ума»</w:t>
      </w:r>
    </w:p>
    <w:p>
      <w:pPr>
        <w:pStyle w:val="BodyText"/>
      </w:pPr>
      <w:r>
        <w:t xml:space="preserve">«Прощай, мой друг, сейчас опять в дорогу», – эти слова А.С. Грибоедова можно поставить в качестве эпиграфа ко всей жизни поэта. Из 34 прожитых лет, ему выпало почти беспрерывно скитаться более 16-ти, что дало право назвать себя «секретарем странствующей миссии». Многие современники называли Грибоедова «странником», да еще с приставкой «персидский». Расстояние от Петербурга до Тифлиса и обратно поэт проехал семь раз, а это 2670 верст и 107 почтовых станций в один конец... При этом поэт увязывал «ненасытность» своей души с творческими порывами, «с пламенной страстью к новым познаниям, к перемене места и занятий, к людям и делам необыкновенным». Грибоедов, пожалуй, первым в русской поэзии сформулировал (в первую очередь, для себя), что страсть «к перемене мест и занятий», к «новым познаниям» нужна поэту как воздух.</w:t>
      </w:r>
    </w:p>
    <w:p>
      <w:pPr>
        <w:pStyle w:val="BodyText"/>
      </w:pPr>
      <w:r>
        <w:t xml:space="preserve">Главными в судьбе А.С. Грибоедова стали 5 городов, каждый из которых внес в летопись его жизни незабываемые страницы – Москва, Петербург, Тифлис, Тавриз, Тегеран. Выставка, приуроченная к 220-летию А.С. Грибоедова, дает возможность вспомнить о судьбе и творчестве его, пройдя теми дорогами, которые вели когда-то поэта в вечность…</w:t>
      </w:r>
    </w:p>
    <w:p>
      <w:pPr>
        <w:pStyle w:val="BodyText"/>
      </w:pPr>
      <w:r>
        <w:t xml:space="preserve">Значительную часть выставки составили фотографии историка и издателя С.Н. Дмитриева,который с 2009 по 2014 год четырежды посещал Иран, а также Грузию, Армению и Азербайджан, следуя путями и дорогами Грибоедова. И в этих путешествиях Сергей Дмитриев не только по-новому взглянул на загадочные страницы биографии Грибоедова, но и сделал несколько существенных открытий. В том числе, считалось, что дом русской миссии в Тегеране, где погиб поэт, не сохранился, но Сергей Дмитриев сумел отыскать его развалины здания и сделать фоторепортаж из мемориального места.</w:t>
      </w:r>
    </w:p>
    <w:p>
      <w:pPr>
        <w:pStyle w:val="BodyText"/>
      </w:pPr>
      <w:r>
        <w:t xml:space="preserve">Зрители на выставке увидят более 50 фотосюжетов – известные и неизвестные места, которые два столетия назад отметил своим присутствием автор великой комедии «Горе от ума». Кроме того, автор представит свой фотоальбом «Персидские напевы. От Грибоедова и Пушкина до Есенина и XXI века» (2014) и научно-популярную книгу «Грибоедов. Тайны смерти Вазир-Мухтара» (2015).</w:t>
      </w:r>
    </w:p>
    <w:p>
      <w:pPr>
        <w:pStyle w:val="BodyText"/>
      </w:pPr>
      <w:r>
        <w:t xml:space="preserve">В числе экспонатов из собрания Государственного музея А.С. Пушкина на выставке представлены портреты А.С. Грибоедова, в том числе рисунок, сделанный в 1928 году А.С. Пушкиным (воспроизведение); автограф Грибоедова – письмо, датированное 1824 годом, к С. Н. Бегичеву, которым автор «Горе от ума» сопроводил отрывок своей пьесы, отправляя его другу на прочтение:</w:t>
      </w:r>
      <w:r>
        <w:t xml:space="preserve"> </w:t>
      </w:r>
      <w:r>
        <w:rPr>
          <w:iCs/>
          <w:i/>
        </w:rPr>
        <w:t xml:space="preserve">«… не могу в эту минуту оторваться от побрякушек авторского самолюлия. Надеюсь, жду, урезываю, меняю дело на вздор… кажется, что работе конца не будет. ……. будет, добьюсь до чего-нибудь….</w:t>
      </w:r>
      <w:r>
        <w:t xml:space="preserve"> </w:t>
      </w:r>
      <w:r>
        <w:rPr>
          <w:iCs/>
          <w:i/>
        </w:rPr>
        <w:t xml:space="preserve">представь себе, что я слишком осемьдесят стихов, или лучше сказать рифм переменил, теперь гладко, как стекло…»,</w:t>
      </w:r>
      <w:r>
        <w:t xml:space="preserve"> </w:t>
      </w:r>
      <w:r>
        <w:t xml:space="preserve">а также первое прижизненное издание знаменитой комедии А.С. Грибоедова 1833 г. инеобычное его повторение 1850-х годов – самодельную книгу «Горе от ума», дополненную вставками с пропущенными цензурой пассажами и газетными вырезками XIX столетия.</w:t>
      </w:r>
    </w:p>
    <w:p>
      <w:pPr>
        <w:pStyle w:val="BodyText"/>
      </w:pPr>
      <w:r>
        <w:rPr>
          <w:iCs/>
          <w:i/>
        </w:rPr>
        <w:t xml:space="preserve">***</w:t>
      </w:r>
    </w:p>
    <w:p>
      <w:pPr>
        <w:pStyle w:val="BodyText"/>
      </w:pPr>
      <w:r>
        <w:rPr>
          <w:iCs/>
          <w:i/>
        </w:rPr>
        <w:t xml:space="preserve">Кроме того, в рамках Года Литературы Государственным музеем А.С. Пушкина совместно с литературными музеями Москвы разработана специальная программа. Из наиболее значимых мероприятий следует выделить:</w:t>
      </w:r>
    </w:p>
    <w:p>
      <w:pPr>
        <w:pStyle w:val="BodyText"/>
      </w:pPr>
      <w:r>
        <w:t xml:space="preserve">v Международный Форум литературных музеев</w:t>
      </w:r>
    </w:p>
    <w:p>
      <w:pPr>
        <w:pStyle w:val="BodyText"/>
      </w:pPr>
      <w:r>
        <w:t xml:space="preserve">v Всероссийская акция «День открытых дверей литературных музеев»</w:t>
      </w:r>
    </w:p>
    <w:p>
      <w:pPr>
        <w:pStyle w:val="BodyText"/>
      </w:pPr>
      <w:r>
        <w:t xml:space="preserve">v Круглый стол «Литературные музеи Москвы: планы и перспективы развития»</w:t>
      </w:r>
    </w:p>
    <w:p>
      <w:pPr>
        <w:pStyle w:val="BodyText"/>
      </w:pPr>
      <w:r>
        <w:t xml:space="preserve">v Семинар для учителей русского языка и литературы «Пушкин в школе»</w:t>
      </w:r>
    </w:p>
    <w:p>
      <w:pPr>
        <w:pStyle w:val="BodyText"/>
      </w:pPr>
      <w:r>
        <w:t xml:space="preserve">v Цикл литературных вечеров «Читаем классику»</w:t>
      </w:r>
    </w:p>
    <w:p>
      <w:pPr>
        <w:pStyle w:val="BodyText"/>
      </w:pPr>
      <w:r>
        <w:t xml:space="preserve">v Краеведческая акция «Увлекательное путешествие по литературным местам Москвы для детей и взрослых»</w:t>
      </w:r>
    </w:p>
    <w:p>
      <w:pPr>
        <w:pStyle w:val="BodyText"/>
      </w:pPr>
      <w:r>
        <w:t xml:space="preserve">v Фестиваль чтения для юных москвичей «Неделя детской книги в Музее А.С. Пушкина»</w:t>
      </w:r>
    </w:p>
    <w:p>
      <w:pPr>
        <w:pStyle w:val="BodyText"/>
      </w:pPr>
      <w:r>
        <w:t xml:space="preserve">v Образовательный мультимедийный проект для учителей и учащихся школ, посвященный А.С. Пушкину.</w:t>
      </w:r>
    </w:p>
    <w:p>
      <w:pPr>
        <w:pStyle w:val="BodyText"/>
      </w:pPr>
      <w:r>
        <w:br/>
      </w:r>
    </w:p>
    <w:p>
      <w:pPr>
        <w:pStyle w:val="BodyText"/>
      </w:pPr>
      <w:r>
        <w:rPr>
          <w:bCs/>
          <w:b/>
        </w:rPr>
        <w:t xml:space="preserve">Аккредитацию на открытие Года литературы в ГМП можно получить в Пресс-службе ГМП</w:t>
      </w:r>
    </w:p>
    <w:p>
      <w:pPr>
        <w:pStyle w:val="BodyText"/>
      </w:pPr>
      <w:r>
        <w:t xml:space="preserve">+ 7 495637-7339 (of); +7 985 4473343 (m.),</w:t>
      </w:r>
      <w:r>
        <w:t xml:space="preserve"> </w:t>
      </w:r>
      <w:hyperlink r:id="rId20">
        <w:r>
          <w:rPr>
            <w:rStyle w:val="Hyperlink"/>
          </w:rPr>
          <w:t xml:space="preserve">prpushkin@mail.ru</w:t>
        </w:r>
      </w:hyperlink>
      <w:r>
        <w:t xml:space="preserve"> </w:t>
      </w:r>
      <w:r>
        <w:t xml:space="preserve">- Кирсанова Вероника</w:t>
      </w:r>
    </w:p>
    <w:p>
      <w:pPr>
        <w:pStyle w:val="BodyText"/>
      </w:pPr>
      <w:r>
        <w:t xml:space="preserve">+7 916 1897758 (m.),</w:t>
      </w:r>
      <w:r>
        <w:t xml:space="preserve"> </w:t>
      </w:r>
      <w:hyperlink r:id="rId21">
        <w:r>
          <w:rPr>
            <w:rStyle w:val="Hyperlink"/>
          </w:rPr>
          <w:t xml:space="preserve">pressagmp@mail.ru</w:t>
        </w:r>
      </w:hyperlink>
      <w:r>
        <w:t xml:space="preserve"> </w:t>
      </w:r>
      <w:r>
        <w:t xml:space="preserve">- Калинина Светлана</w:t>
      </w:r>
    </w:p>
    <w:p>
      <w:pPr>
        <w:pStyle w:val="BodyText"/>
      </w:pPr>
      <w:r>
        <w:t xml:space="preserve">+7 916 4709485 (m.),</w:t>
      </w:r>
      <w:r>
        <w:t xml:space="preserve"> </w:t>
      </w:r>
      <w:hyperlink r:id="rId22">
        <w:r>
          <w:rPr>
            <w:rStyle w:val="Hyperlink"/>
          </w:rPr>
          <w:t xml:space="preserve">pushkin.press@yandex.ru</w:t>
        </w:r>
      </w:hyperlink>
      <w:r>
        <w:t xml:space="preserve"> </w:t>
      </w:r>
      <w:r>
        <w:t xml:space="preserve">- Иван Синица </w:t>
      </w:r>
    </w:p>
    <w:p>
      <w:pPr>
        <w:pStyle w:val="BodyText"/>
      </w:pPr>
      <w:r>
        <w:br/>
      </w:r>
    </w:p>
    <w:p>
      <w:pPr>
        <w:pStyle w:val="BodyText"/>
      </w:pPr>
      <w:r>
        <w:t xml:space="preserve">Адрес страницы:</w:t>
      </w:r>
      <w:r>
        <w:t xml:space="preserve"> </w:t>
      </w:r>
      <w:hyperlink r:id="rId23">
        <w:r>
          <w:rPr>
            <w:rStyle w:val="Hyperlink"/>
          </w:rPr>
          <w:t xml:space="preserve">http://hamovniki.mos.ru/presscenter/anons/detail/1557084.html</w:t>
        </w:r>
      </w:hyperlink>
    </w:p>
    <w:p>
      <w:pPr>
        <w:pStyle w:val="BodyText"/>
      </w:pPr>
      <w:hyperlink r:id="rId24">
        <w:r>
          <w:rPr>
            <w:rStyle w:val="Hyperlink"/>
          </w:rPr>
          <w:t xml:space="preserve">Управа района Хамовники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hamovniki.mos.ru" TargetMode="External" /><Relationship Type="http://schemas.openxmlformats.org/officeDocument/2006/relationships/hyperlink" Id="rId23" Target="http://hamovniki.mos.ru/presscenter/anons/detail/1557084.html" TargetMode="External" /><Relationship Type="http://schemas.openxmlformats.org/officeDocument/2006/relationships/hyperlink" Id="rId21" Target="mailto:pressagmp@mail.ru" TargetMode="External" /><Relationship Type="http://schemas.openxmlformats.org/officeDocument/2006/relationships/hyperlink" Id="rId20" Target="mailto:prpushkin@mail.ru" TargetMode="External" /><Relationship Type="http://schemas.openxmlformats.org/officeDocument/2006/relationships/hyperlink" Id="rId22" Target="mailto:pushkin.press@yandex.ru" TargetMode="External" /></Relationships>
</file>

<file path=word/_rels/footnotes.xml.rels><?xml version="1.0" encoding="UTF-8"?><Relationships xmlns="http://schemas.openxmlformats.org/package/2006/relationships"><Relationship Type="http://schemas.openxmlformats.org/officeDocument/2006/relationships/hyperlink" Id="rId24" Target="http://hamovniki.mos.ru" TargetMode="External" /><Relationship Type="http://schemas.openxmlformats.org/officeDocument/2006/relationships/hyperlink" Id="rId23" Target="http://hamovniki.mos.ru/presscenter/anons/detail/1557084.html" TargetMode="External" /><Relationship Type="http://schemas.openxmlformats.org/officeDocument/2006/relationships/hyperlink" Id="rId21" Target="mailto:pressagmp@mail.ru" TargetMode="External" /><Relationship Type="http://schemas.openxmlformats.org/officeDocument/2006/relationships/hyperlink" Id="rId20" Target="mailto:prpushkin@mail.ru" TargetMode="External" /><Relationship Type="http://schemas.openxmlformats.org/officeDocument/2006/relationships/hyperlink" Id="rId22" Target="mailto:pushkin.press@yandex.r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2024-04-10T16:41:01Z</dcterms:created>
  <dcterms:modified xsi:type="dcterms:W3CDTF">2024-04-10T16:41:01Z</dcterms:modified>
</cp:coreProperties>
</file>

<file path=docProps/custom.xml><?xml version="1.0" encoding="utf-8"?>
<Properties xmlns="http://schemas.openxmlformats.org/officeDocument/2006/custom-properties" xmlns:vt="http://schemas.openxmlformats.org/officeDocument/2006/docPropsVTypes"/>
</file>