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2" w:name="Xf46c247e96681d3c91555a480fa42de966b680d"/>
    <w:p>
      <w:pPr>
        <w:pStyle w:val="Heading3"/>
      </w:pPr>
      <w:r>
        <w:t xml:space="preserve">ГМИИ им. Пушкина показывает бумажную архитектуру</w:t>
      </w:r>
    </w:p>
    <w:p>
      <w:pPr>
        <w:pStyle w:val="FirstParagraph"/>
      </w:pPr>
      <w:r>
        <w:t xml:space="preserve">19.03.2015</w:t>
      </w:r>
    </w:p>
    <w:p>
      <w:pPr>
        <w:pStyle w:val="BodyText"/>
      </w:pPr>
      <w:r>
        <w:t xml:space="preserve">До 12 апреля Государственный музей изобразительных искусств имени А.С. Пушкина представляет т выставку, посвященную направлению изобразительного искусства – бумажной архитектуре.</w:t>
      </w:r>
    </w:p>
    <w:p>
      <w:pPr>
        <w:pStyle w:val="BodyText"/>
      </w:pPr>
      <w:r>
        <w:t xml:space="preserve">По словам куратора выставки, архитектора, Юрия Аввакумова: «Век бумаги как материала для архитекторов завершился – на смену кульману, бумаге, кальке, туши, карандашу, рейсфедеру, рапидографу, ластику пришли компьютерные мыши, мониторы и имиджи. Так что Бумажной архитектуре оказалось самое место там, где она лучше всего хранится, то есть не на стройплощадке, а в музее. И символично, что её закат пришелся на конец века и тысячелетия».</w:t>
      </w:r>
    </w:p>
    <w:p>
      <w:pPr>
        <w:pStyle w:val="BodyText"/>
      </w:pPr>
      <w:r>
        <w:t xml:space="preserve">Выставка предлагает сопоставить проекты советских концептуалистов и итальянских классиков архитектурной фантазии. В музее будут представлены работы в области архитектурной графики знаменитых мастеров XVII–XVIII веков</w:t>
      </w:r>
    </w:p>
    <w:p>
      <w:pPr>
        <w:pStyle w:val="BodyText"/>
      </w:pPr>
      <w:r>
        <w:t xml:space="preserve">К выставке готовится специальный каталог, который увидит свет в апреле 2015 года.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0">
        <w:r>
          <w:rPr>
            <w:rStyle w:val="Hyperlink"/>
          </w:rPr>
          <w:t xml:space="preserve">http://hamovniki.mos.ru/presscenter/anons/detail/1668544.html</w:t>
        </w:r>
      </w:hyperlink>
    </w:p>
    <w:p>
      <w:pPr>
        <w:pStyle w:val="BodyText"/>
      </w:pPr>
      <w:hyperlink r:id="rId21">
        <w:r>
          <w:rPr>
            <w:rStyle w:val="Hyperlink"/>
          </w:rPr>
          <w:t xml:space="preserve">Управа района Хамовники города Москвы</w:t>
        </w:r>
      </w:hyperlink>
    </w:p>
    <w:bookmarkEnd w:id="22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hyperlink" Id="rId21" Target="http://hamovniki.mos.ru" TargetMode="External" /><Relationship Type="http://schemas.openxmlformats.org/officeDocument/2006/relationships/hyperlink" Id="rId20" Target="http://hamovniki.mos.ru/presscenter/anons/detail/1668544.html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1" Target="http://hamovniki.mos.ru" TargetMode="External" /><Relationship Type="http://schemas.openxmlformats.org/officeDocument/2006/relationships/hyperlink" Id="rId20" Target="http://hamovniki.mos.ru/presscenter/anons/detail/1668544.html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2024-08-11T18:14:03Z</dcterms:created>
  <dcterms:modified xsi:type="dcterms:W3CDTF">2024-08-11T18:14:03Z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