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d2b86aac96fbab5c643be545e39623463a8249"/>
    <w:p>
      <w:pPr>
        <w:pStyle w:val="Heading3"/>
      </w:pPr>
      <w:r>
        <w:t xml:space="preserve">Выставка «Капитанская дочка» к 180-летию публикации</w:t>
      </w:r>
    </w:p>
    <w:p>
      <w:pPr>
        <w:pStyle w:val="FirstParagraph"/>
      </w:pPr>
      <w:r>
        <w:t xml:space="preserve">22.11.2016</w:t>
      </w:r>
    </w:p>
    <w:p>
      <w:pPr>
        <w:pStyle w:val="BodyText"/>
      </w:pPr>
      <w:r>
        <w:drawing>
          <wp:inline>
            <wp:extent cx="2090057" cy="16459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b2a/file6ruhhhzi5sn1deqi213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7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 11 декабря в Государственном музее Пушкина продлится выставка «Капитанская дочка», приуроченная к 180-летию с момента первой публикации произведения.</w:t>
      </w:r>
    </w:p>
    <w:p>
      <w:pPr>
        <w:pStyle w:val="BodyText"/>
      </w:pPr>
      <w:r>
        <w:t xml:space="preserve">В текущем году исполняется 180 лет с момента первой публикации романа Александром Пушкиным своего романа «Капитанская дочка». В честь этого Государственный музей Александра Пушкина подготовил выставочный проект, вобравший в себя материалы, как способствовавшие созданию произведения, так и работы художников, отсылавшиеся в своих работах к «Капитанской дочке».</w:t>
      </w:r>
    </w:p>
    <w:p>
      <w:pPr>
        <w:pStyle w:val="BodyText"/>
      </w:pPr>
      <w:r>
        <w:t xml:space="preserve">Цель проекта дать широкую историческую панораму на прошедшую с 1773 по 1775 годы Крестьянскую войну.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http://hamovniki.mos.ru/presscenter/anons/detail/4257792.html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257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257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2024-11-19T21:18:51Z</dcterms:created>
  <dcterms:modified xsi:type="dcterms:W3CDTF">2024-11-19T21:18:51Z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