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47aa2b9cc78531cdd8a3607959b4b77f97ce4f"/>
    <w:p>
      <w:pPr>
        <w:pStyle w:val="Heading3"/>
      </w:pPr>
      <w:r>
        <w:t xml:space="preserve">Порядка 100 компаний Москвы разработали программы развития бизнеса</w:t>
      </w:r>
    </w:p>
    <w:p>
      <w:pPr>
        <w:pStyle w:val="FirstParagraph"/>
      </w:pPr>
      <w:r>
        <w:t xml:space="preserve">05.07.2021</w:t>
      </w:r>
    </w:p>
    <w:p>
      <w:pPr>
        <w:pStyle w:val="BodyText"/>
      </w:pPr>
      <w:r>
        <w:t xml:space="preserve">Специалисты по развитию технологического бизнеса StartHub.Moscow 5 июля представили решения для банков, бухгалтерии и логистики.</w:t>
      </w:r>
    </w:p>
    <w:p>
      <w:pPr>
        <w:pStyle w:val="BodyText"/>
      </w:pPr>
      <w:r>
        <w:t xml:space="preserve">По словам руководителя Департамента предпринимательства и инновационного развития города Москвы Алексея Фурсина, для участия в первом потоке было подано около одной тысячи запросов от технологических предпринимателей.</w:t>
      </w:r>
    </w:p>
    <w:p>
      <w:pPr>
        <w:pStyle w:val="BodyText"/>
      </w:pPr>
      <w:r>
        <w:t xml:space="preserve">По завершении проекта все команды представили свои разработки для бизнеса. Из успешных решений выделяют Онлайн-платформу для банков SalesChain, которая позволяет автоматизировать работу агентского и партнерского каналов продаж, Проект по обучению детей робототехнике Intelligent University, программу «Антисон» для бесконтактного мониторинга состояния человека за рулем и многие другие.</w:t>
      </w:r>
    </w:p>
    <w:p>
      <w:pPr>
        <w:pStyle w:val="BodyText"/>
      </w:pPr>
      <w:r>
        <w:t xml:space="preserve">Участником второго этапа проекта могут стать юридические лица с готовым продуктом и продажами или минимально жизнеспособным продуктом на стадии пилотирования. Подать заявку можно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программы до 18 июля.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http://hamovniki.mos.ru/presscenter/news/detail/10082428.html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0082428.html" TargetMode="External" /><Relationship Type="http://schemas.openxmlformats.org/officeDocument/2006/relationships/hyperlink" Id="rId20" Target="https://i.moscow/starthub_mosco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0082428.html" TargetMode="External" /><Relationship Type="http://schemas.openxmlformats.org/officeDocument/2006/relationships/hyperlink" Id="rId20" Target="https://i.moscow/starthub_mosco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2025-05-07T12:19:22Z</dcterms:created>
  <dcterms:modified xsi:type="dcterms:W3CDTF">2025-05-07T12:19:22Z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