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097d88c2d640c680e42305d569a0942e6dc1e"/>
    <w:p>
      <w:pPr>
        <w:pStyle w:val="Heading3"/>
      </w:pPr>
      <w:r>
        <w:t xml:space="preserve">Предпринимателям в Москве одобрили примерно 280 заявок на гранты и субсидии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t xml:space="preserve">Владельцам бизнеса в столице оказали поддержку на сумму более 220 миллионов рублей.</w:t>
      </w:r>
    </w:p>
    <w:p>
      <w:pPr>
        <w:pStyle w:val="BodyText"/>
      </w:pPr>
      <w:r>
        <w:t xml:space="preserve">Около 65 миллионов составили выплаты 72 компаниям, работающим по франшизе. Субсидии получат 81 компания доставки еды, 5 компаний гостиничного бизнеса, 5 предпринимателей социальной сферы и другие.</w:t>
      </w:r>
    </w:p>
    <w:p>
      <w:pPr>
        <w:pStyle w:val="BodyText"/>
      </w:pPr>
      <w:r>
        <w:t xml:space="preserve">Финансовая поддержка позволит им компенсировать затраты на проценты по кредитам и коммунальные услуги. Средства выделили также на разработку нового продукта, участие в выставках, использование маркетплейсов и продвижение на интернет-площадках.</w:t>
      </w:r>
    </w:p>
    <w:p>
      <w:pPr>
        <w:pStyle w:val="BodyText"/>
      </w:pPr>
      <w:r>
        <w:t xml:space="preserve">Компенсацию на 22 резидентов разных технопарков получит Московский инновационный кластер.</w:t>
      </w:r>
    </w:p>
    <w:p>
      <w:pPr>
        <w:pStyle w:val="BodyText"/>
      </w:pPr>
      <w:r>
        <w:t xml:space="preserve">С начала текущего года столичному бизнесу одобрили 778 заявок на общую сумму более 780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http://hamovniki.mos.ru/presscenter/news/detail/10130492.html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30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30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2023-06-27T21:11:55Z</dcterms:created>
  <dcterms:modified xsi:type="dcterms:W3CDTF">2023-06-27T21:11:55Z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