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d2a130f4a58c408c0773784fd7f62f818e1e0"/>
    <w:p>
      <w:pPr>
        <w:pStyle w:val="Heading3"/>
      </w:pPr>
      <w:r>
        <w:t xml:space="preserve">Компании Москвы представят продукцию в Китае</w:t>
      </w:r>
    </w:p>
    <w:p>
      <w:pPr>
        <w:pStyle w:val="FirstParagraph"/>
      </w:pPr>
      <w:r>
        <w:t xml:space="preserve">16.08.2021</w:t>
      </w:r>
    </w:p>
    <w:p>
      <w:pPr>
        <w:pStyle w:val="BodyText"/>
      </w:pPr>
      <w:r>
        <w:t xml:space="preserve">Столичные фирмы примут участие в проекте по выходу предприятий на рынок Китайской народной Республики.</w:t>
      </w:r>
    </w:p>
    <w:p>
      <w:pPr>
        <w:pStyle w:val="BodyText"/>
      </w:pPr>
      <w:r>
        <w:t xml:space="preserve">Руководитель Департамента предпринимательства и инновационного развития города Москвы Алексей Фурсин сообщил, что пилотный проект по размещению московских компаний в заграничных торговых центрах запустили в июле текущего года.</w:t>
      </w:r>
    </w:p>
    <w:p>
      <w:pPr>
        <w:pStyle w:val="BodyText"/>
      </w:pPr>
      <w:r>
        <w:t xml:space="preserve">На данном этапе идет отбор пищевых и косметических производителей Москвы для размещения в самом крупном торговом центре китайской провинции Сычуань. Принять участие смогут корпорации, которые производят продукты питания и косметику с длительным сроком годности.</w:t>
      </w:r>
    </w:p>
    <w:p>
      <w:pPr>
        <w:pStyle w:val="BodyText"/>
      </w:pPr>
      <w:r>
        <w:t xml:space="preserve">Отметим, что Московский экспортный центр покроет все логистические затраты, а также расходы на предоставление товаров и регистрацию торговых марок в КНР.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http://hamovniki.mos.ru/presscenter/news/detail/10182753.html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827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827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2025-06-06T19:27:30Z</dcterms:created>
  <dcterms:modified xsi:type="dcterms:W3CDTF">2025-06-06T19:27:30Z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