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36a458841f21bdfcea3b5b6568943d4e4c7e15"/>
    <w:p>
      <w:pPr>
        <w:pStyle w:val="Heading3"/>
      </w:pPr>
      <w:r>
        <w:t xml:space="preserve">ГУП «Экотехпром» подготовил инструкцию о способах оплаты услуг по вывозу ТКО для Потребителей ИЖС.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drawing>
          <wp:inline>
            <wp:extent cx="5334000" cy="3859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8d0/oj7a9szce1yddc5rbpbgiaa52ye1eugg/Instruktsiya_po_oplate_dlya_IZHS-_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598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14/oxhm90symmvpthgudqgpx90iky4ycq5r/Instruktsiya_po_oplate_dlya_IZHS-_1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598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89b/78bg1o2ze4m50zhxnyzyjwtr4df3lqfl/Instruktsiya_po_oplate_dlya_IZHS-_1_page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http://hamovniki.mos.ru/presscenter/news/detail/10894827.html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hamovniki.mos.ru" TargetMode="External" /><Relationship Type="http://schemas.openxmlformats.org/officeDocument/2006/relationships/hyperlink" Id="rId29" Target="http://hamovniki.mos.ru/presscenter/news/detail/10894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hamovniki.mos.ru" TargetMode="External" /><Relationship Type="http://schemas.openxmlformats.org/officeDocument/2006/relationships/hyperlink" Id="rId29" Target="http://hamovniki.mos.ru/presscenter/news/detail/10894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2025-08-05T15:33:05Z</dcterms:created>
  <dcterms:modified xsi:type="dcterms:W3CDTF">2025-08-05T15:33:05Z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