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1064ead4789ef2e13a37f59d9bc5d8c04b63f"/>
    <w:p>
      <w:pPr>
        <w:pStyle w:val="Heading3"/>
      </w:pPr>
      <w:r>
        <w:t xml:space="preserve">Город выставил на торги 40 помещений в девяти районах ЦАО.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t xml:space="preserve">Город выставил на торги 40 помещений в девяти районах ЦАО.</w:t>
      </w:r>
    </w:p>
    <w:p>
      <w:pPr>
        <w:pStyle w:val="BodyText"/>
      </w:pPr>
      <w:r>
        <w:t xml:space="preserve">Все помещения сдадут под деловую, торговую и иную деятельность.</w:t>
      </w:r>
    </w:p>
    <w:p>
      <w:pPr>
        <w:pStyle w:val="BodyText"/>
      </w:pPr>
      <w:r>
        <w:t xml:space="preserve">На городские торги выставили 40 помещений общей площадью более семи тысяч квадратных метров. Все объекты находятся в девяти районах Центрального административного округа. Их сдадут под деловую, торговую и иную деятельность. Об этом стало известно 2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Коммерческая недвижимость имеет высокий спрос среди предпринимателей и инвесторов. Особенно это касается центра столицы. Здесь очень развита транспортная инфраструктура, а также отмечается высокий уровень потребительской активности, — отметил руководитель Департамента по конкурентной политике города Москвы Иван Щербаков.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площадь помещений варьируется от 8,9 до 1,1 тысячи квадратных метров. На Проспекте Мира можно приобрести объект площадью 120,6 квадратных метра в подвальном этаже жилого дома или лот на улице Станиславского в Таганском районе, который находится на первом этаже новостройки и имеет панорамное остекление со стороны фасада здания, проинформировали на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Заявочные кампании по объектам завершатся в период с 13 по 15 марта, онлайн-торги пройдут на электронной площадке «Росэлторг» в период с 22 по 26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http://hamovniki.mos.ru/presscenter/news/detail/11442159.html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1442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1442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2025-08-05T15:33:04Z</dcterms:created>
  <dcterms:modified xsi:type="dcterms:W3CDTF">2025-08-05T15:33:04Z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