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256822f3e1322f0e358d406bbbdbbb3b5285f6"/>
    <w:p>
      <w:pPr>
        <w:pStyle w:val="Heading3"/>
      </w:pPr>
      <w:r>
        <w:t xml:space="preserve">Реставрацию проведут в одном из исторических домов района</w:t>
      </w:r>
    </w:p>
    <w:p>
      <w:pPr>
        <w:pStyle w:val="FirstParagraph"/>
      </w:pPr>
      <w:r>
        <w:t xml:space="preserve">26.08.2024</w:t>
      </w:r>
    </w:p>
    <w:p>
      <w:pPr>
        <w:pStyle w:val="BodyText"/>
      </w:pPr>
      <w:r>
        <w:t xml:space="preserve">26.08.2024</w:t>
      </w:r>
    </w:p>
    <w:p>
      <w:pPr>
        <w:pStyle w:val="BodyText"/>
      </w:pPr>
      <w:r>
        <w:t xml:space="preserve">Историческое здание отреставрируют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Инвестор отреставрирует историческое здание, купленное на аукционе, об этом сообщили 26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Здание принадлежало купцу Марку Гусеву. Оно располагается по адресу: улица Большая Полянка, дом №65/74, строение 1. Его площадь составляет более 1,1 тысячи квадратных метров, об этом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Помимо этого здания в Москве также отреставрируют другие объекты культурного наследия. Они располагаются в районах Центрального административного округа: Якиманка, Басманный, Таганский» и других.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Все объекты, которые выставляют на аукционы, находятся рядом со станциями метро и расположены в районах с высоким пешеходным трафиком.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После реставрации предприниматели будут использовать здания в целях развития своих бизнесов. Инвестиционный портал Москвы в течение 10 лет остается одним из самых востребованных ресурсов для инвесторов.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http://hamovniki.mos.ru/presscenter/news/detail/12536012.html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536012.html" TargetMode="External" /><Relationship Type="http://schemas.openxmlformats.org/officeDocument/2006/relationships/hyperlink" Id="rId20" Target="https://www.mos.ru/news/item/14304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536012.html" TargetMode="External" /><Relationship Type="http://schemas.openxmlformats.org/officeDocument/2006/relationships/hyperlink" Id="rId20" Target="https://www.mos.ru/news/item/14304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2024-10-21T16:11:14Z</dcterms:created>
  <dcterms:modified xsi:type="dcterms:W3CDTF">2024-10-21T16:11:14Z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