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9064c515a54486a3914781c92d7264dc53d406"/>
    <w:p>
      <w:pPr>
        <w:pStyle w:val="Heading3"/>
      </w:pPr>
      <w:r>
        <w:t xml:space="preserve">Комплексное благоустройство жилого квартала провели в Хамовниках за счет средств от платных парковок</w:t>
      </w:r>
    </w:p>
    <w:p>
      <w:pPr>
        <w:pStyle w:val="FirstParagraph"/>
      </w:pPr>
      <w:r>
        <w:t xml:space="preserve">14.11.2017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c7d/file6xcsu3u60rn19w1fl9n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Благоустройство целого жилого квартала провели в районе Хамовники в этом году за счет средств, полученных от платных парковочных стоянок.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 </w:t>
      </w:r>
      <w:hyperlink r:id="rId23">
        <w:r>
          <w:rPr>
            <w:rStyle w:val="Hyperlink"/>
          </w:rPr>
          <w:t xml:space="preserve">отмечается</w:t>
        </w:r>
      </w:hyperlink>
      <w:r>
        <w:t xml:space="preserve"> на портале «Московский паркинг», обновление дворовых территорий Москвы можно увидеть на примере участка возле дома 35 на Комсомольском проспекте, где появилась тематическая детская площадка.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— Дома, расположенные по этому и близлежащим адресам, образуют квартал, в котором есть и своя школа, и детский сад, — рассказал префект Центрального административного округа столицы Владимир Говердовский. — Поэтому решено было сделать площадки, на которых могли бы гулять и заниматься спортом жители всех возрастов.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префекта, основу доходной части бюджета районов города составляют средства, полученные от платных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http://hamovniki.mos.ru/presscenter/news/detail/6973699.html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973699.html" TargetMode="External" /><Relationship Type="http://schemas.openxmlformats.org/officeDocument/2006/relationships/hyperlink" Id="rId23" Target="http://parking.mos.ru/news/86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6973699.html" TargetMode="External" /><Relationship Type="http://schemas.openxmlformats.org/officeDocument/2006/relationships/hyperlink" Id="rId23" Target="http://parking.mos.ru/news/86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2025-08-05T15:33:10Z</dcterms:created>
  <dcterms:modified xsi:type="dcterms:W3CDTF">2025-08-05T15:33:10Z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