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75314e25ccadcf77fc5a0f5718ba24727624f"/>
    <w:p>
      <w:pPr>
        <w:pStyle w:val="Heading3"/>
      </w:pPr>
      <w:r>
        <w:t xml:space="preserve">Треть столичных поликлиник отремонтируют до 2021 года</w:t>
      </w:r>
    </w:p>
    <w:p>
      <w:pPr>
        <w:pStyle w:val="FirstParagraph"/>
      </w:pPr>
      <w:r>
        <w:t xml:space="preserve">10.04.2019</w:t>
      </w:r>
    </w:p>
    <w:p>
      <w:pPr>
        <w:pStyle w:val="BodyText"/>
      </w:pPr>
      <w:r>
        <w:t xml:space="preserve">Комплексную модернизацию осуществят в 135 столичных поликлиниках до 2021 года. Об этом проинформировали 10 апреля.</w:t>
      </w:r>
    </w:p>
    <w:p>
      <w:pPr>
        <w:pStyle w:val="BodyText"/>
      </w:pPr>
      <w:r>
        <w:t xml:space="preserve">Медицинские организации станут более комфортными для пациентов. Их техническое оснащение значительно улучшится, прокомментировали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Так, специалисты изменят планировку некоторых зданий, чтобы появилось больше пространства. В фойе установят удобную мебель, а в кабинетах — все необходимое оборудование.</w:t>
      </w:r>
    </w:p>
    <w:p>
      <w:pPr>
        <w:pStyle w:val="BodyText"/>
      </w:pPr>
      <w:r>
        <w:t xml:space="preserve">Отметим, что проекты ремонта разработают сотрудники Департамента здравоохранения совместно с главными врачами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http://hamovniki.mos.ru/presscenter/news/detail/8011182.html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011182.html" TargetMode="External" /><Relationship Type="http://schemas.openxmlformats.org/officeDocument/2006/relationships/hyperlink" Id="rId20" Target="https://www.mskagency.ru/materials/28795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8011182.html" TargetMode="External" /><Relationship Type="http://schemas.openxmlformats.org/officeDocument/2006/relationships/hyperlink" Id="rId20" Target="https://www.mskagency.ru/materials/28795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2025-01-18T06:56:46Z</dcterms:created>
  <dcterms:modified xsi:type="dcterms:W3CDTF">2025-01-18T06:56:46Z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