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b833669f88b85e2bec3c0e76933a5ccedfe2af"/>
    <w:p>
      <w:pPr>
        <w:pStyle w:val="Heading3"/>
      </w:pPr>
      <w:r>
        <w:t xml:space="preserve">Ремонт фасадов проведут в Таганском и Басманном районах столицы</w:t>
      </w:r>
    </w:p>
    <w:p>
      <w:pPr>
        <w:pStyle w:val="FirstParagraph"/>
      </w:pPr>
      <w:r>
        <w:t xml:space="preserve">04.05.2021</w:t>
      </w:r>
    </w:p>
    <w:p>
      <w:pPr>
        <w:pStyle w:val="BodyText"/>
      </w:pPr>
      <w:r>
        <w:t xml:space="preserve">Фасады двух исторических зданий отремонтируют в Москве.</w:t>
      </w:r>
    </w:p>
    <w:p>
      <w:pPr>
        <w:pStyle w:val="BodyText"/>
      </w:pPr>
      <w:r>
        <w:t xml:space="preserve">Работы проведут в рамках программы капитального ремонта.</w:t>
      </w:r>
    </w:p>
    <w:p>
      <w:pPr>
        <w:pStyle w:val="BodyText"/>
      </w:pPr>
      <w:r>
        <w:t xml:space="preserve">Отметим, что возраст жилых домов, сроки эксплуатации лифтов, годы реконструкции, состояние внутренних инженерных систем и потребность в обновлении — все это учитывается перед началом обновления зданий.</w:t>
      </w:r>
    </w:p>
    <w:p>
      <w:pPr>
        <w:pStyle w:val="BodyText"/>
      </w:pPr>
      <w:r>
        <w:t xml:space="preserve">Метод и технологии ремонта дома-памятника определены в проектно-сметной документации, которая проходит государственную экспертизу и согласовывается с городским Департаментом культурного наследия.</w:t>
      </w:r>
    </w:p>
    <w:p>
      <w:pPr>
        <w:pStyle w:val="BodyText"/>
      </w:pPr>
      <w:r>
        <w:t xml:space="preserve">Добавим, что здания располагаются по адресам: улица Александра Солженицына, дом 29/18, и Басманный тупик, дом 10/12.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http://hamovniki.mos.ru/presscenter/news/detail/9921983.html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99219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99219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2025-02-17T14:59:35Z</dcterms:created>
  <dcterms:modified xsi:type="dcterms:W3CDTF">2025-02-17T14:59:35Z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